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33" w:rsidRPr="00335D33" w:rsidRDefault="00B20AB9" w:rsidP="00335D33">
      <w:pPr>
        <w:shd w:val="clear" w:color="auto" w:fill="FFFFFF"/>
        <w:spacing w:before="120" w:after="120" w:line="600" w:lineRule="atLeast"/>
        <w:outlineLvl w:val="0"/>
        <w:rPr>
          <w:rFonts w:ascii="Tahoma" w:eastAsia="Times New Roman" w:hAnsi="Tahoma" w:cs="Tahoma"/>
          <w:b/>
          <w:color w:val="666666"/>
          <w:kern w:val="36"/>
          <w:sz w:val="36"/>
          <w:szCs w:val="36"/>
          <w:lang w:eastAsia="en-GB"/>
        </w:rPr>
      </w:pPr>
      <w:r>
        <w:rPr>
          <w:rFonts w:ascii="Tahoma" w:eastAsia="Times New Roman" w:hAnsi="Tahoma" w:cs="Tahoma"/>
          <w:b/>
          <w:color w:val="666666"/>
          <w:kern w:val="36"/>
          <w:sz w:val="36"/>
          <w:szCs w:val="36"/>
          <w:lang w:eastAsia="en-GB"/>
        </w:rPr>
        <w:t xml:space="preserve">Guidance on </w:t>
      </w:r>
      <w:r w:rsidR="00335D33" w:rsidRPr="00335D33">
        <w:rPr>
          <w:rFonts w:ascii="Tahoma" w:eastAsia="Times New Roman" w:hAnsi="Tahoma" w:cs="Tahoma"/>
          <w:b/>
          <w:color w:val="666666"/>
          <w:kern w:val="36"/>
          <w:sz w:val="36"/>
          <w:szCs w:val="36"/>
          <w:lang w:eastAsia="en-GB"/>
        </w:rPr>
        <w:t>Teacher Assessed Grades (TAGS) – Summer 2021</w:t>
      </w:r>
    </w:p>
    <w:p w:rsidR="00335D33" w:rsidRPr="00335D33" w:rsidRDefault="00335D33" w:rsidP="00335D33">
      <w:pPr>
        <w:numPr>
          <w:ilvl w:val="0"/>
          <w:numId w:val="1"/>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 xml:space="preserve">Every school and college </w:t>
      </w:r>
      <w:proofErr w:type="gramStart"/>
      <w:r w:rsidRPr="00335D33">
        <w:rPr>
          <w:rFonts w:ascii="Arial" w:eastAsia="Times New Roman" w:hAnsi="Arial" w:cs="Arial"/>
          <w:color w:val="666666"/>
          <w:lang w:eastAsia="en-GB"/>
        </w:rPr>
        <w:t>ha</w:t>
      </w:r>
      <w:r w:rsidR="00B20AB9">
        <w:rPr>
          <w:rFonts w:ascii="Arial" w:eastAsia="Times New Roman" w:hAnsi="Arial" w:cs="Arial"/>
          <w:color w:val="666666"/>
          <w:lang w:eastAsia="en-GB"/>
        </w:rPr>
        <w:t>s</w:t>
      </w:r>
      <w:proofErr w:type="gramEnd"/>
      <w:r w:rsidRPr="00335D33">
        <w:rPr>
          <w:rFonts w:ascii="Arial" w:eastAsia="Times New Roman" w:hAnsi="Arial" w:cs="Arial"/>
          <w:color w:val="666666"/>
          <w:lang w:eastAsia="en-GB"/>
        </w:rPr>
        <w:t xml:space="preserve"> a policy that sets out how grades will be determined, and this will be reviewed by the exam board before grades are submitted</w:t>
      </w:r>
    </w:p>
    <w:p w:rsidR="00B20AB9" w:rsidRPr="00B20AB9" w:rsidRDefault="00335D33" w:rsidP="00B20AB9">
      <w:pPr>
        <w:numPr>
          <w:ilvl w:val="0"/>
          <w:numId w:val="1"/>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Students w</w:t>
      </w:r>
      <w:r w:rsidR="00B20AB9">
        <w:rPr>
          <w:rFonts w:ascii="Arial" w:eastAsia="Times New Roman" w:hAnsi="Arial" w:cs="Arial"/>
          <w:color w:val="666666"/>
          <w:lang w:eastAsia="en-GB"/>
        </w:rPr>
        <w:t>ere only</w:t>
      </w:r>
      <w:r w:rsidRPr="00335D33">
        <w:rPr>
          <w:rFonts w:ascii="Arial" w:eastAsia="Times New Roman" w:hAnsi="Arial" w:cs="Arial"/>
          <w:color w:val="666666"/>
          <w:lang w:eastAsia="en-GB"/>
        </w:rPr>
        <w:t xml:space="preserve"> assessed on what they have been taught.</w:t>
      </w:r>
    </w:p>
    <w:p w:rsidR="00335D33" w:rsidRPr="00335D33" w:rsidRDefault="00335D33" w:rsidP="00335D33">
      <w:pPr>
        <w:numPr>
          <w:ilvl w:val="0"/>
          <w:numId w:val="1"/>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Students have seen the guidance on how TAGS will be awarded, been informed of the range of evidence that will be used to inform the grade and have been given the opportunity to improve this work.</w:t>
      </w:r>
    </w:p>
    <w:p w:rsidR="00335D33" w:rsidRPr="00335D33" w:rsidRDefault="00335D33" w:rsidP="00335D33">
      <w:pPr>
        <w:numPr>
          <w:ilvl w:val="0"/>
          <w:numId w:val="1"/>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Every effort w</w:t>
      </w:r>
      <w:r w:rsidR="00B20AB9">
        <w:rPr>
          <w:rFonts w:ascii="Arial" w:eastAsia="Times New Roman" w:hAnsi="Arial" w:cs="Arial"/>
          <w:color w:val="666666"/>
          <w:lang w:eastAsia="en-GB"/>
        </w:rPr>
        <w:t>as</w:t>
      </w:r>
      <w:r w:rsidRPr="00335D33">
        <w:rPr>
          <w:rFonts w:ascii="Arial" w:eastAsia="Times New Roman" w:hAnsi="Arial" w:cs="Arial"/>
          <w:color w:val="666666"/>
          <w:lang w:eastAsia="en-GB"/>
        </w:rPr>
        <w:t xml:space="preserve"> made to use the same sources of evidence for each subject cohort.</w:t>
      </w:r>
    </w:p>
    <w:p w:rsidR="00335D33" w:rsidRPr="00335D33" w:rsidRDefault="00335D33" w:rsidP="00335D33">
      <w:pPr>
        <w:numPr>
          <w:ilvl w:val="0"/>
          <w:numId w:val="1"/>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 xml:space="preserve">The grade awarded </w:t>
      </w:r>
      <w:r w:rsidR="00B20AB9">
        <w:rPr>
          <w:rFonts w:ascii="Arial" w:eastAsia="Times New Roman" w:hAnsi="Arial" w:cs="Arial"/>
          <w:color w:val="666666"/>
          <w:lang w:eastAsia="en-GB"/>
        </w:rPr>
        <w:t>started with</w:t>
      </w:r>
      <w:r w:rsidRPr="00335D33">
        <w:rPr>
          <w:rFonts w:ascii="Arial" w:eastAsia="Times New Roman" w:hAnsi="Arial" w:cs="Arial"/>
          <w:color w:val="666666"/>
          <w:lang w:eastAsia="en-GB"/>
        </w:rPr>
        <w:t xml:space="preserve"> teacher’s assessment of their performance across a range of evidence</w:t>
      </w:r>
      <w:r w:rsidR="00B20AB9">
        <w:rPr>
          <w:rFonts w:ascii="Arial" w:eastAsia="Times New Roman" w:hAnsi="Arial" w:cs="Arial"/>
          <w:color w:val="666666"/>
          <w:lang w:eastAsia="en-GB"/>
        </w:rPr>
        <w:t xml:space="preserve"> includ</w:t>
      </w:r>
      <w:r w:rsidR="00107E22">
        <w:rPr>
          <w:rFonts w:ascii="Arial" w:eastAsia="Times New Roman" w:hAnsi="Arial" w:cs="Arial"/>
          <w:color w:val="666666"/>
          <w:lang w:eastAsia="en-GB"/>
        </w:rPr>
        <w:t xml:space="preserve">ing </w:t>
      </w:r>
      <w:bookmarkStart w:id="0" w:name="_GoBack"/>
      <w:bookmarkEnd w:id="0"/>
      <w:r w:rsidR="00B20AB9">
        <w:rPr>
          <w:rFonts w:ascii="Arial" w:eastAsia="Times New Roman" w:hAnsi="Arial" w:cs="Arial"/>
          <w:color w:val="666666"/>
          <w:lang w:eastAsia="en-GB"/>
        </w:rPr>
        <w:t xml:space="preserve">completed summative assessment and classwork. </w:t>
      </w:r>
      <w:r w:rsidRPr="00335D33">
        <w:rPr>
          <w:rFonts w:ascii="Arial" w:eastAsia="Times New Roman" w:hAnsi="Arial" w:cs="Arial"/>
          <w:color w:val="666666"/>
          <w:lang w:eastAsia="en-GB"/>
        </w:rPr>
        <w:t>This assessment w</w:t>
      </w:r>
      <w:r w:rsidR="00B20AB9">
        <w:rPr>
          <w:rFonts w:ascii="Arial" w:eastAsia="Times New Roman" w:hAnsi="Arial" w:cs="Arial"/>
          <w:color w:val="666666"/>
          <w:lang w:eastAsia="en-GB"/>
        </w:rPr>
        <w:t xml:space="preserve">as </w:t>
      </w:r>
      <w:r w:rsidRPr="00335D33">
        <w:rPr>
          <w:rFonts w:ascii="Arial" w:eastAsia="Times New Roman" w:hAnsi="Arial" w:cs="Arial"/>
          <w:color w:val="666666"/>
          <w:lang w:eastAsia="en-GB"/>
        </w:rPr>
        <w:t>then subject to internal and external quality review.</w:t>
      </w:r>
    </w:p>
    <w:p w:rsidR="00335D33" w:rsidRPr="00335D33" w:rsidRDefault="00335D33" w:rsidP="00335D33">
      <w:pPr>
        <w:shd w:val="clear" w:color="auto" w:fill="FFFFFF"/>
        <w:spacing w:before="150" w:after="150" w:line="240" w:lineRule="auto"/>
        <w:rPr>
          <w:rFonts w:ascii="Arial" w:eastAsia="Times New Roman" w:hAnsi="Arial" w:cs="Arial"/>
          <w:color w:val="666666"/>
          <w:lang w:eastAsia="en-GB"/>
        </w:rPr>
      </w:pPr>
      <w:r w:rsidRPr="00335D33">
        <w:rPr>
          <w:rFonts w:ascii="Arial" w:eastAsia="Times New Roman" w:hAnsi="Arial" w:cs="Arial"/>
          <w:color w:val="666666"/>
          <w:lang w:eastAsia="en-GB"/>
        </w:rPr>
        <w:t>Every year there are students who are disappointed by the grade they achieve. If a student is disappointed with their grade, they may consider sitting exams in the autumn series.</w:t>
      </w:r>
    </w:p>
    <w:p w:rsidR="00335D33" w:rsidRPr="00335D33" w:rsidRDefault="00335D33" w:rsidP="00335D33">
      <w:pPr>
        <w:spacing w:after="0" w:line="240" w:lineRule="auto"/>
        <w:rPr>
          <w:rFonts w:ascii="Times New Roman" w:eastAsia="Times New Roman" w:hAnsi="Times New Roman" w:cs="Times New Roman"/>
          <w:lang w:eastAsia="en-GB"/>
        </w:rPr>
      </w:pPr>
      <w:r w:rsidRPr="00335D33">
        <w:rPr>
          <w:rFonts w:ascii="Arial" w:eastAsia="Times New Roman" w:hAnsi="Arial" w:cs="Arial"/>
          <w:color w:val="666666"/>
          <w:shd w:val="clear" w:color="auto" w:fill="FFFFFF"/>
          <w:lang w:eastAsia="en-GB"/>
        </w:rPr>
        <w:t xml:space="preserve">If a student is concerned that their grade is wrong, </w:t>
      </w:r>
      <w:r w:rsidRPr="00853CEA">
        <w:rPr>
          <w:rFonts w:ascii="Arial" w:eastAsia="Times New Roman" w:hAnsi="Arial" w:cs="Arial"/>
          <w:color w:val="666666"/>
          <w:shd w:val="clear" w:color="auto" w:fill="FFFFFF"/>
          <w:lang w:eastAsia="en-GB"/>
        </w:rPr>
        <w:t>Ofqual</w:t>
      </w:r>
      <w:r w:rsidRPr="00335D33">
        <w:rPr>
          <w:rFonts w:ascii="Arial" w:eastAsia="Times New Roman" w:hAnsi="Arial" w:cs="Arial"/>
          <w:color w:val="666666"/>
          <w:shd w:val="clear" w:color="auto" w:fill="FFFFFF"/>
          <w:lang w:eastAsia="en-GB"/>
        </w:rPr>
        <w:t xml:space="preserve"> have put an </w:t>
      </w:r>
      <w:r w:rsidR="00D8564E" w:rsidRPr="00853CEA">
        <w:rPr>
          <w:rFonts w:ascii="Arial" w:eastAsia="Times New Roman" w:hAnsi="Arial" w:cs="Arial"/>
          <w:color w:val="666666"/>
          <w:shd w:val="clear" w:color="auto" w:fill="FFFFFF"/>
          <w:lang w:eastAsia="en-GB"/>
        </w:rPr>
        <w:t>appeal</w:t>
      </w:r>
      <w:r w:rsidRPr="00335D33">
        <w:rPr>
          <w:rFonts w:ascii="Arial" w:eastAsia="Times New Roman" w:hAnsi="Arial" w:cs="Arial"/>
          <w:color w:val="666666"/>
          <w:shd w:val="clear" w:color="auto" w:fill="FFFFFF"/>
          <w:lang w:eastAsia="en-GB"/>
        </w:rPr>
        <w:t xml:space="preserve"> process in place:</w:t>
      </w:r>
    </w:p>
    <w:p w:rsidR="00335D33" w:rsidRPr="00335D33" w:rsidRDefault="00335D33" w:rsidP="00335D33">
      <w:pPr>
        <w:numPr>
          <w:ilvl w:val="0"/>
          <w:numId w:val="2"/>
        </w:numPr>
        <w:shd w:val="clear" w:color="auto" w:fill="FFFFFF"/>
        <w:spacing w:before="72" w:after="72" w:line="300" w:lineRule="atLeast"/>
        <w:ind w:left="480"/>
        <w:rPr>
          <w:rFonts w:ascii="Arial" w:eastAsia="Times New Roman" w:hAnsi="Arial" w:cs="Arial"/>
          <w:color w:val="666666"/>
          <w:lang w:eastAsia="en-GB"/>
        </w:rPr>
      </w:pPr>
      <w:r w:rsidRPr="00335D33">
        <w:rPr>
          <w:rFonts w:ascii="Arial" w:eastAsia="Times New Roman" w:hAnsi="Arial" w:cs="Arial"/>
          <w:color w:val="666666"/>
          <w:lang w:eastAsia="en-GB"/>
        </w:rPr>
        <w:t>If a student thinks their grade is wrong, they should first ask the college to check whether they made a mistake in determining or submitting the grade.</w:t>
      </w:r>
    </w:p>
    <w:p w:rsidR="00335D33" w:rsidRPr="00335D33" w:rsidRDefault="00335D33" w:rsidP="00335D33">
      <w:pPr>
        <w:numPr>
          <w:ilvl w:val="0"/>
          <w:numId w:val="2"/>
        </w:numPr>
        <w:shd w:val="clear" w:color="auto" w:fill="FFFFFF"/>
        <w:spacing w:before="72" w:after="72" w:line="300" w:lineRule="atLeast"/>
        <w:ind w:left="480"/>
        <w:rPr>
          <w:rFonts w:ascii="Arial" w:eastAsia="Times New Roman" w:hAnsi="Arial" w:cs="Arial"/>
          <w:color w:val="666666"/>
          <w:lang w:eastAsia="en-GB"/>
        </w:rPr>
      </w:pPr>
      <w:r w:rsidRPr="00335D33">
        <w:rPr>
          <w:rFonts w:ascii="Arial" w:eastAsia="Times New Roman" w:hAnsi="Arial" w:cs="Arial"/>
          <w:color w:val="666666"/>
          <w:lang w:eastAsia="en-GB"/>
        </w:rPr>
        <w:t>If a mistake has been identified, the college can submit a revised grade to the exam board to consider.</w:t>
      </w:r>
    </w:p>
    <w:p w:rsidR="00335D33" w:rsidRPr="00335D33" w:rsidRDefault="00335D33" w:rsidP="00335D33">
      <w:pPr>
        <w:numPr>
          <w:ilvl w:val="0"/>
          <w:numId w:val="2"/>
        </w:numPr>
        <w:shd w:val="clear" w:color="auto" w:fill="FFFFFF"/>
        <w:spacing w:before="72" w:after="72" w:line="300" w:lineRule="atLeast"/>
        <w:ind w:left="480"/>
        <w:rPr>
          <w:rFonts w:ascii="Arial" w:eastAsia="Times New Roman" w:hAnsi="Arial" w:cs="Arial"/>
          <w:color w:val="666666"/>
          <w:lang w:eastAsia="en-GB"/>
        </w:rPr>
      </w:pPr>
      <w:r w:rsidRPr="00335D33">
        <w:rPr>
          <w:rFonts w:ascii="Arial" w:eastAsia="Times New Roman" w:hAnsi="Arial" w:cs="Arial"/>
          <w:color w:val="666666"/>
          <w:lang w:eastAsia="en-GB"/>
        </w:rPr>
        <w:t>If no error has been identified, but a student still believes that the grade is wrong, they can ask the college to submit a formal appeal to the exam board. An appeal can be made for any of the following reasons:</w:t>
      </w:r>
    </w:p>
    <w:p w:rsidR="00335D33" w:rsidRPr="00335D33" w:rsidRDefault="00335D33" w:rsidP="00335D33">
      <w:pPr>
        <w:numPr>
          <w:ilvl w:val="0"/>
          <w:numId w:val="3"/>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 there was an error in the way the college followed or applied its procedure for determining the teacher assessed grade</w:t>
      </w:r>
    </w:p>
    <w:p w:rsidR="00335D33" w:rsidRPr="00335D33" w:rsidRDefault="00335D33" w:rsidP="00335D33">
      <w:pPr>
        <w:numPr>
          <w:ilvl w:val="0"/>
          <w:numId w:val="3"/>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 the college did not make a reasonable judgement when deciding which evidence to use to determine the teacher assessed grade</w:t>
      </w:r>
    </w:p>
    <w:p w:rsidR="00335D33" w:rsidRPr="00335D33" w:rsidRDefault="00335D33" w:rsidP="00335D33">
      <w:pPr>
        <w:numPr>
          <w:ilvl w:val="0"/>
          <w:numId w:val="3"/>
        </w:numPr>
        <w:shd w:val="clear" w:color="auto" w:fill="FFFFFF"/>
        <w:spacing w:before="72" w:after="72" w:line="300" w:lineRule="atLeast"/>
        <w:ind w:left="384"/>
        <w:rPr>
          <w:rFonts w:ascii="Arial" w:eastAsia="Times New Roman" w:hAnsi="Arial" w:cs="Arial"/>
          <w:color w:val="666666"/>
          <w:lang w:eastAsia="en-GB"/>
        </w:rPr>
      </w:pPr>
      <w:r w:rsidRPr="00335D33">
        <w:rPr>
          <w:rFonts w:ascii="Arial" w:eastAsia="Times New Roman" w:hAnsi="Arial" w:cs="Arial"/>
          <w:color w:val="666666"/>
          <w:lang w:eastAsia="en-GB"/>
        </w:rPr>
        <w:t>- the college did not make a reasonable judgement about the grade based on the evidence gathered</w:t>
      </w:r>
    </w:p>
    <w:p w:rsidR="00335D33" w:rsidRPr="00335D33" w:rsidRDefault="00335D33" w:rsidP="00335D33">
      <w:pPr>
        <w:shd w:val="clear" w:color="auto" w:fill="FFFFFF"/>
        <w:spacing w:before="150" w:after="150" w:line="240" w:lineRule="auto"/>
        <w:rPr>
          <w:rFonts w:ascii="Arial" w:eastAsia="Times New Roman" w:hAnsi="Arial" w:cs="Arial"/>
          <w:color w:val="666666"/>
          <w:lang w:eastAsia="en-GB"/>
        </w:rPr>
      </w:pPr>
      <w:r w:rsidRPr="00335D33">
        <w:rPr>
          <w:rFonts w:ascii="Arial" w:eastAsia="Times New Roman" w:hAnsi="Arial" w:cs="Arial"/>
          <w:color w:val="666666"/>
          <w:lang w:eastAsia="en-GB"/>
        </w:rPr>
        <w:t>If an appeal is submitted, the student will need to explain why they think the result was incorrect and should be changed.</w:t>
      </w:r>
    </w:p>
    <w:p w:rsidR="00335D33" w:rsidRPr="00335D33" w:rsidRDefault="00335D33" w:rsidP="00335D33">
      <w:pPr>
        <w:shd w:val="clear" w:color="auto" w:fill="FFFFFF"/>
        <w:spacing w:before="150" w:after="150" w:line="240" w:lineRule="auto"/>
        <w:rPr>
          <w:rFonts w:ascii="Arial" w:eastAsia="Times New Roman" w:hAnsi="Arial" w:cs="Arial"/>
          <w:color w:val="666666"/>
          <w:lang w:eastAsia="en-GB"/>
        </w:rPr>
      </w:pPr>
      <w:r w:rsidRPr="00335D33">
        <w:rPr>
          <w:rFonts w:ascii="Arial" w:eastAsia="Times New Roman" w:hAnsi="Arial" w:cs="Arial"/>
          <w:color w:val="666666"/>
          <w:lang w:eastAsia="en-GB"/>
        </w:rPr>
        <w:t>The appeal questions whether the original decision was a reasonable one, and not whether other reasonable decisions could have been made.</w:t>
      </w:r>
    </w:p>
    <w:p w:rsidR="00335D33" w:rsidRPr="00853CEA" w:rsidRDefault="00335D33" w:rsidP="00335D33">
      <w:pPr>
        <w:shd w:val="clear" w:color="auto" w:fill="FFFFFF"/>
        <w:spacing w:before="150" w:after="75" w:line="240" w:lineRule="auto"/>
        <w:rPr>
          <w:rFonts w:ascii="Arial" w:eastAsia="Times New Roman" w:hAnsi="Arial" w:cs="Arial"/>
          <w:color w:val="666666"/>
          <w:lang w:eastAsia="en-GB"/>
        </w:rPr>
      </w:pPr>
      <w:r w:rsidRPr="00335D33">
        <w:rPr>
          <w:rFonts w:ascii="Arial" w:eastAsia="Times New Roman" w:hAnsi="Arial" w:cs="Arial"/>
          <w:color w:val="666666"/>
          <w:lang w:eastAsia="en-GB"/>
        </w:rPr>
        <w:t>A grade will only be changed if there was an error when determining or submitting the grade, or if the grade given could not have reasonably been reached based on the evidence presented. The grade may go up, go down, or remain the same.</w:t>
      </w:r>
    </w:p>
    <w:p w:rsidR="00D8564E" w:rsidRPr="00853CEA" w:rsidRDefault="00D8564E" w:rsidP="00335D33">
      <w:pPr>
        <w:shd w:val="clear" w:color="auto" w:fill="FFFFFF"/>
        <w:spacing w:before="150" w:after="75" w:line="240" w:lineRule="auto"/>
        <w:rPr>
          <w:rFonts w:ascii="Arial" w:eastAsia="Times New Roman" w:hAnsi="Arial" w:cs="Arial"/>
          <w:color w:val="666666"/>
          <w:lang w:eastAsia="en-GB"/>
        </w:rPr>
      </w:pPr>
    </w:p>
    <w:p w:rsidR="00D8564E" w:rsidRPr="00853CEA" w:rsidRDefault="00D8564E" w:rsidP="00335D33">
      <w:pPr>
        <w:shd w:val="clear" w:color="auto" w:fill="FFFFFF"/>
        <w:spacing w:before="150" w:after="75" w:line="240" w:lineRule="auto"/>
        <w:rPr>
          <w:rFonts w:ascii="Arial" w:eastAsia="Times New Roman" w:hAnsi="Arial" w:cs="Arial"/>
          <w:color w:val="666666"/>
          <w:lang w:eastAsia="en-GB"/>
        </w:rPr>
      </w:pPr>
    </w:p>
    <w:p w:rsidR="00D8564E" w:rsidRPr="00335D33" w:rsidRDefault="00D8564E" w:rsidP="00335D33">
      <w:pPr>
        <w:shd w:val="clear" w:color="auto" w:fill="FFFFFF"/>
        <w:spacing w:before="150" w:after="75" w:line="240" w:lineRule="auto"/>
        <w:rPr>
          <w:rFonts w:ascii="Arial" w:eastAsia="Times New Roman" w:hAnsi="Arial" w:cs="Arial"/>
          <w:color w:val="666666"/>
          <w:lang w:eastAsia="en-GB"/>
        </w:rPr>
      </w:pPr>
    </w:p>
    <w:p w:rsidR="00D8564E" w:rsidRDefault="00D8564E" w:rsidP="00D8564E">
      <w:pPr>
        <w:shd w:val="clear" w:color="auto" w:fill="FFFFFF"/>
        <w:spacing w:before="120" w:after="120" w:line="600" w:lineRule="atLeast"/>
        <w:outlineLvl w:val="0"/>
        <w:rPr>
          <w:rFonts w:ascii="Tahoma" w:eastAsia="Times New Roman" w:hAnsi="Tahoma" w:cs="Tahoma"/>
          <w:b/>
          <w:color w:val="666666"/>
          <w:kern w:val="36"/>
          <w:sz w:val="36"/>
          <w:szCs w:val="36"/>
          <w:lang w:eastAsia="en-GB"/>
        </w:rPr>
      </w:pPr>
      <w:r w:rsidRPr="00D8564E">
        <w:rPr>
          <w:rFonts w:ascii="Tahoma" w:eastAsia="Times New Roman" w:hAnsi="Tahoma" w:cs="Tahoma"/>
          <w:b/>
          <w:color w:val="666666"/>
          <w:kern w:val="36"/>
          <w:sz w:val="36"/>
          <w:szCs w:val="36"/>
          <w:lang w:eastAsia="en-GB"/>
        </w:rPr>
        <w:t>2021 Teacher Assessed Grades (TAG) Appeals Process</w:t>
      </w:r>
    </w:p>
    <w:p w:rsidR="00AF1896" w:rsidRPr="00D8564E" w:rsidRDefault="00AF1896" w:rsidP="00D8564E">
      <w:pPr>
        <w:shd w:val="clear" w:color="auto" w:fill="FFFFFF"/>
        <w:spacing w:before="120" w:after="120" w:line="600" w:lineRule="atLeast"/>
        <w:outlineLvl w:val="0"/>
        <w:rPr>
          <w:rFonts w:ascii="Tahoma" w:eastAsia="Times New Roman" w:hAnsi="Tahoma" w:cs="Tahoma"/>
          <w:b/>
          <w:color w:val="666666"/>
          <w:kern w:val="36"/>
          <w:sz w:val="36"/>
          <w:szCs w:val="36"/>
          <w:lang w:eastAsia="en-GB"/>
        </w:rPr>
      </w:pPr>
    </w:p>
    <w:p w:rsidR="00D8564E" w:rsidRPr="00AF1896" w:rsidRDefault="00D8564E" w:rsidP="00D8564E">
      <w:pPr>
        <w:shd w:val="clear" w:color="auto" w:fill="FFFFFF"/>
        <w:spacing w:before="120" w:after="120" w:line="240" w:lineRule="auto"/>
        <w:outlineLvl w:val="1"/>
        <w:rPr>
          <w:rFonts w:ascii="Arial" w:eastAsia="Times New Roman" w:hAnsi="Arial" w:cs="Arial"/>
          <w:b/>
          <w:color w:val="000000"/>
          <w:sz w:val="28"/>
          <w:szCs w:val="28"/>
          <w:lang w:eastAsia="en-GB"/>
        </w:rPr>
      </w:pPr>
      <w:r w:rsidRPr="00AF1896">
        <w:rPr>
          <w:rFonts w:ascii="Arial" w:eastAsia="Times New Roman" w:hAnsi="Arial" w:cs="Arial"/>
          <w:b/>
          <w:color w:val="000000"/>
          <w:sz w:val="28"/>
          <w:szCs w:val="28"/>
          <w:lang w:eastAsia="en-GB"/>
        </w:rPr>
        <w:t>Student’s unequivocal Right to a Review and Appeal</w:t>
      </w:r>
    </w:p>
    <w:p w:rsidR="00D8564E" w:rsidRPr="00B20AB9" w:rsidRDefault="00D8564E" w:rsidP="00D8564E">
      <w:pPr>
        <w:numPr>
          <w:ilvl w:val="0"/>
          <w:numId w:val="4"/>
        </w:numPr>
        <w:shd w:val="clear" w:color="auto" w:fill="FFFFFF"/>
        <w:spacing w:before="72" w:after="72" w:line="300" w:lineRule="atLeast"/>
        <w:ind w:left="384"/>
        <w:rPr>
          <w:rFonts w:ascii="Arial" w:eastAsia="Times New Roman" w:hAnsi="Arial" w:cs="Arial"/>
          <w:color w:val="666666"/>
          <w:lang w:eastAsia="en-GB"/>
        </w:rPr>
      </w:pPr>
      <w:r w:rsidRPr="00B20AB9">
        <w:rPr>
          <w:rFonts w:ascii="Arial" w:eastAsia="Times New Roman" w:hAnsi="Arial" w:cs="Arial"/>
          <w:color w:val="666666"/>
          <w:lang w:eastAsia="en-GB"/>
        </w:rPr>
        <w:t xml:space="preserve">All students, whose grades are subject to the TAG process will have the right to instruct the college to conduct a Centre Review and where they disagree with the outcome of that review, request that the Centre submits an appeal to the Awarding </w:t>
      </w:r>
      <w:r w:rsidR="00B20AB9">
        <w:rPr>
          <w:rFonts w:ascii="Arial" w:eastAsia="Times New Roman" w:hAnsi="Arial" w:cs="Arial"/>
          <w:color w:val="666666"/>
          <w:lang w:eastAsia="en-GB"/>
        </w:rPr>
        <w:t>Organisation</w:t>
      </w:r>
      <w:r w:rsidRPr="00B20AB9">
        <w:rPr>
          <w:rFonts w:ascii="Arial" w:eastAsia="Times New Roman" w:hAnsi="Arial" w:cs="Arial"/>
          <w:color w:val="666666"/>
          <w:lang w:eastAsia="en-GB"/>
        </w:rPr>
        <w:t xml:space="preserve"> on behalf of themselves, in relation to their TAG.</w:t>
      </w:r>
    </w:p>
    <w:p w:rsidR="00D8564E" w:rsidRPr="00B20AB9" w:rsidRDefault="00D8564E" w:rsidP="00D8564E">
      <w:pPr>
        <w:numPr>
          <w:ilvl w:val="0"/>
          <w:numId w:val="4"/>
        </w:numPr>
        <w:shd w:val="clear" w:color="auto" w:fill="FFFFFF"/>
        <w:spacing w:before="72" w:after="72" w:line="300" w:lineRule="atLeast"/>
        <w:ind w:left="384"/>
        <w:rPr>
          <w:rFonts w:ascii="Arial" w:eastAsia="Times New Roman" w:hAnsi="Arial" w:cs="Arial"/>
          <w:color w:val="666666"/>
          <w:lang w:eastAsia="en-GB"/>
        </w:rPr>
      </w:pPr>
      <w:r w:rsidRPr="00B20AB9">
        <w:rPr>
          <w:rFonts w:ascii="Arial" w:eastAsia="Times New Roman" w:hAnsi="Arial" w:cs="Arial"/>
          <w:color w:val="666666"/>
          <w:lang w:eastAsia="en-GB"/>
        </w:rPr>
        <w:t xml:space="preserve">The College will have no discretion regarding such a review; and they will be obliged to submit the appeal to the Awarding </w:t>
      </w:r>
      <w:r w:rsidR="00B20AB9" w:rsidRPr="00B20AB9">
        <w:rPr>
          <w:rFonts w:ascii="Arial" w:eastAsia="Times New Roman" w:hAnsi="Arial" w:cs="Arial"/>
          <w:color w:val="666666"/>
          <w:lang w:eastAsia="en-GB"/>
        </w:rPr>
        <w:t>Organisation</w:t>
      </w:r>
    </w:p>
    <w:p w:rsidR="00D8564E" w:rsidRPr="00B20AB9" w:rsidRDefault="00D8564E" w:rsidP="00025940">
      <w:pPr>
        <w:shd w:val="clear" w:color="auto" w:fill="FFFFFF"/>
        <w:spacing w:before="72" w:after="72" w:line="300" w:lineRule="atLeast"/>
        <w:ind w:left="24"/>
        <w:rPr>
          <w:rFonts w:ascii="Arial" w:eastAsia="Times New Roman" w:hAnsi="Arial" w:cs="Arial"/>
          <w:color w:val="666666"/>
          <w:lang w:eastAsia="en-GB"/>
        </w:rPr>
      </w:pPr>
    </w:p>
    <w:p w:rsidR="00D8564E" w:rsidRPr="00AF1896" w:rsidRDefault="00D8564E" w:rsidP="00D8564E">
      <w:pPr>
        <w:shd w:val="clear" w:color="auto" w:fill="FFFFFF"/>
        <w:spacing w:before="120" w:after="120" w:line="240" w:lineRule="auto"/>
        <w:outlineLvl w:val="1"/>
        <w:rPr>
          <w:rFonts w:ascii="Arial" w:eastAsia="Times New Roman" w:hAnsi="Arial" w:cs="Arial"/>
          <w:b/>
          <w:color w:val="000000"/>
          <w:sz w:val="28"/>
          <w:szCs w:val="28"/>
          <w:lang w:eastAsia="en-GB"/>
        </w:rPr>
      </w:pPr>
      <w:r w:rsidRPr="00AF1896">
        <w:rPr>
          <w:rFonts w:ascii="Arial" w:eastAsia="Times New Roman" w:hAnsi="Arial" w:cs="Arial"/>
          <w:b/>
          <w:color w:val="000000"/>
          <w:sz w:val="28"/>
          <w:szCs w:val="28"/>
          <w:lang w:eastAsia="en-GB"/>
        </w:rPr>
        <w:t>Grounds of Appeal:</w:t>
      </w:r>
    </w:p>
    <w:p w:rsidR="00D8564E" w:rsidRPr="00853CEA" w:rsidRDefault="00D8564E" w:rsidP="00853CEA">
      <w:pPr>
        <w:pStyle w:val="ListParagraph"/>
        <w:numPr>
          <w:ilvl w:val="0"/>
          <w:numId w:val="7"/>
        </w:numPr>
        <w:shd w:val="clear" w:color="auto" w:fill="FFFFFF"/>
        <w:spacing w:before="120" w:after="120" w:line="600" w:lineRule="atLeast"/>
        <w:outlineLvl w:val="2"/>
        <w:rPr>
          <w:rFonts w:ascii="Tahoma" w:eastAsia="Times New Roman" w:hAnsi="Tahoma" w:cs="Tahoma"/>
          <w:b/>
          <w:bCs/>
          <w:color w:val="000000"/>
          <w:sz w:val="29"/>
          <w:szCs w:val="29"/>
          <w:lang w:eastAsia="en-GB"/>
        </w:rPr>
      </w:pPr>
      <w:r w:rsidRPr="00853CEA">
        <w:rPr>
          <w:rFonts w:ascii="Tahoma" w:eastAsia="Times New Roman" w:hAnsi="Tahoma" w:cs="Tahoma"/>
          <w:b/>
          <w:bCs/>
          <w:color w:val="000000"/>
          <w:sz w:val="29"/>
          <w:szCs w:val="29"/>
          <w:lang w:eastAsia="en-GB"/>
        </w:rPr>
        <w:t>Procedural</w:t>
      </w:r>
    </w:p>
    <w:p w:rsidR="00853CEA" w:rsidRPr="00B20AB9" w:rsidRDefault="00853CEA" w:rsidP="00853CEA">
      <w:pPr>
        <w:shd w:val="clear" w:color="auto" w:fill="FFFFFF"/>
        <w:spacing w:before="72" w:after="72" w:line="300" w:lineRule="atLeast"/>
        <w:ind w:left="360"/>
        <w:rPr>
          <w:rFonts w:ascii="Arial" w:eastAsia="Times New Roman" w:hAnsi="Arial" w:cs="Arial"/>
          <w:color w:val="666666"/>
          <w:sz w:val="24"/>
          <w:szCs w:val="24"/>
          <w:lang w:eastAsia="en-GB"/>
        </w:rPr>
      </w:pPr>
      <w:r w:rsidRPr="00B20AB9">
        <w:rPr>
          <w:rFonts w:ascii="Arial" w:eastAsia="Times New Roman" w:hAnsi="Arial" w:cs="Arial"/>
          <w:color w:val="666666"/>
          <w:lang w:eastAsia="en-GB"/>
        </w:rPr>
        <w:t>Procedural Errors – This is where a centre has failed to follow their own policies and procedures. The centre’s written procedure will contain a summary of appropriate evidence to be used. Therefore, the appeals process will focus upon what evidence was selected, and whether or not it was in line with a Centre’s own policies and procedures</w:t>
      </w:r>
      <w:r w:rsidRPr="00B20AB9">
        <w:rPr>
          <w:rFonts w:ascii="Arial" w:eastAsia="Times New Roman" w:hAnsi="Arial" w:cs="Arial"/>
          <w:color w:val="666666"/>
          <w:sz w:val="24"/>
          <w:szCs w:val="24"/>
          <w:lang w:eastAsia="en-GB"/>
        </w:rPr>
        <w:t>.</w:t>
      </w:r>
    </w:p>
    <w:p w:rsidR="00D8564E" w:rsidRPr="00853CEA" w:rsidRDefault="00D8564E" w:rsidP="00853CEA">
      <w:pPr>
        <w:pStyle w:val="ListParagraph"/>
        <w:numPr>
          <w:ilvl w:val="0"/>
          <w:numId w:val="7"/>
        </w:numPr>
        <w:shd w:val="clear" w:color="auto" w:fill="FFFFFF"/>
        <w:spacing w:before="120" w:after="120" w:line="600" w:lineRule="atLeast"/>
        <w:outlineLvl w:val="2"/>
        <w:rPr>
          <w:rFonts w:ascii="Tahoma" w:eastAsia="Times New Roman" w:hAnsi="Tahoma" w:cs="Tahoma"/>
          <w:b/>
          <w:bCs/>
          <w:color w:val="000000"/>
          <w:sz w:val="29"/>
          <w:szCs w:val="29"/>
          <w:lang w:eastAsia="en-GB"/>
        </w:rPr>
      </w:pPr>
      <w:r w:rsidRPr="00853CEA">
        <w:rPr>
          <w:rFonts w:ascii="Tahoma" w:eastAsia="Times New Roman" w:hAnsi="Tahoma" w:cs="Tahoma"/>
          <w:b/>
          <w:bCs/>
          <w:color w:val="000000"/>
          <w:sz w:val="29"/>
          <w:szCs w:val="29"/>
          <w:lang w:eastAsia="en-GB"/>
        </w:rPr>
        <w:t>Administrative</w:t>
      </w:r>
    </w:p>
    <w:p w:rsidR="00853CEA" w:rsidRPr="00B20AB9" w:rsidRDefault="00853CEA" w:rsidP="00853CEA">
      <w:pPr>
        <w:shd w:val="clear" w:color="auto" w:fill="FFFFFF"/>
        <w:spacing w:before="72" w:after="72" w:line="300" w:lineRule="atLeast"/>
        <w:ind w:left="360"/>
        <w:rPr>
          <w:rFonts w:ascii="Arial" w:eastAsia="Times New Roman" w:hAnsi="Arial" w:cs="Arial"/>
          <w:color w:val="666666"/>
          <w:lang w:eastAsia="en-GB"/>
        </w:rPr>
      </w:pPr>
      <w:r w:rsidRPr="00B20AB9">
        <w:rPr>
          <w:rFonts w:ascii="Arial" w:eastAsia="Times New Roman" w:hAnsi="Arial" w:cs="Arial"/>
          <w:color w:val="666666"/>
          <w:lang w:eastAsia="en-GB"/>
        </w:rPr>
        <w:t>Administrative errors – This is where either the centre or Awarding Organisation has made an administrative error in relation to a student’s TAG.</w:t>
      </w:r>
    </w:p>
    <w:p w:rsidR="00D8564E" w:rsidRPr="00D8564E" w:rsidRDefault="00D8564E" w:rsidP="00853CEA">
      <w:pPr>
        <w:shd w:val="clear" w:color="auto" w:fill="FFFFFF"/>
        <w:spacing w:before="120" w:after="120" w:line="600" w:lineRule="atLeast"/>
        <w:ind w:firstLine="384"/>
        <w:outlineLvl w:val="2"/>
        <w:rPr>
          <w:rFonts w:ascii="Tahoma" w:eastAsia="Times New Roman" w:hAnsi="Tahoma" w:cs="Tahoma"/>
          <w:b/>
          <w:bCs/>
          <w:color w:val="000000"/>
          <w:sz w:val="29"/>
          <w:szCs w:val="29"/>
          <w:lang w:eastAsia="en-GB"/>
        </w:rPr>
      </w:pPr>
      <w:r w:rsidRPr="00D8564E">
        <w:rPr>
          <w:rFonts w:ascii="Tahoma" w:eastAsia="Times New Roman" w:hAnsi="Tahoma" w:cs="Tahoma"/>
          <w:b/>
          <w:bCs/>
          <w:color w:val="000000"/>
          <w:sz w:val="29"/>
          <w:szCs w:val="29"/>
          <w:lang w:eastAsia="en-GB"/>
        </w:rPr>
        <w:t>c) Academic Judgements</w:t>
      </w:r>
    </w:p>
    <w:p w:rsidR="00D8564E" w:rsidRPr="00B20AB9" w:rsidRDefault="00D8564E" w:rsidP="00853CEA">
      <w:pPr>
        <w:shd w:val="clear" w:color="auto" w:fill="FFFFFF"/>
        <w:spacing w:before="72" w:after="72" w:line="300" w:lineRule="atLeast"/>
        <w:ind w:left="384"/>
        <w:rPr>
          <w:rFonts w:ascii="Arial" w:eastAsia="Times New Roman" w:hAnsi="Arial" w:cs="Arial"/>
          <w:color w:val="666666"/>
          <w:lang w:eastAsia="en-GB"/>
        </w:rPr>
      </w:pPr>
      <w:r w:rsidRPr="00B20AB9">
        <w:rPr>
          <w:rFonts w:ascii="Arial" w:eastAsia="Times New Roman" w:hAnsi="Arial" w:cs="Arial"/>
          <w:color w:val="666666"/>
          <w:lang w:eastAsia="en-GB"/>
        </w:rPr>
        <w:t>Academic Judgements – This is where the original TAG judgement failed to be informed by a holistic, accurate and reasonable ‘basket of evidence’. Where a student challenges the TAG judgement, and suggests the use of alternative evidence, the question remains whether the original judgement was reasonable / unreasonable; and not whether the evidence suggested by the student, was or might have been as or more appropriate.</w:t>
      </w:r>
    </w:p>
    <w:p w:rsidR="00B20AB9" w:rsidRDefault="00B20AB9" w:rsidP="00D8564E">
      <w:pPr>
        <w:shd w:val="clear" w:color="auto" w:fill="FFFFFF"/>
        <w:spacing w:before="120" w:after="120" w:line="240" w:lineRule="auto"/>
        <w:outlineLvl w:val="1"/>
        <w:rPr>
          <w:rFonts w:ascii="Tahoma" w:eastAsia="Times New Roman" w:hAnsi="Tahoma" w:cs="Tahoma"/>
          <w:color w:val="000000"/>
          <w:sz w:val="30"/>
          <w:szCs w:val="30"/>
          <w:lang w:eastAsia="en-GB"/>
        </w:rPr>
      </w:pPr>
    </w:p>
    <w:p w:rsidR="00AF1896" w:rsidRDefault="00AF1896" w:rsidP="00D8564E">
      <w:pPr>
        <w:shd w:val="clear" w:color="auto" w:fill="FFFFFF"/>
        <w:spacing w:before="120" w:after="120" w:line="240" w:lineRule="auto"/>
        <w:outlineLvl w:val="1"/>
        <w:rPr>
          <w:rFonts w:ascii="Arial" w:eastAsia="Times New Roman" w:hAnsi="Arial" w:cs="Arial"/>
          <w:b/>
          <w:color w:val="000000"/>
          <w:sz w:val="28"/>
          <w:szCs w:val="28"/>
          <w:lang w:eastAsia="en-GB"/>
        </w:rPr>
      </w:pPr>
    </w:p>
    <w:p w:rsidR="00AF1896" w:rsidRDefault="00AF1896" w:rsidP="00D8564E">
      <w:pPr>
        <w:shd w:val="clear" w:color="auto" w:fill="FFFFFF"/>
        <w:spacing w:before="120" w:after="120" w:line="240" w:lineRule="auto"/>
        <w:outlineLvl w:val="1"/>
        <w:rPr>
          <w:rFonts w:ascii="Arial" w:eastAsia="Times New Roman" w:hAnsi="Arial" w:cs="Arial"/>
          <w:b/>
          <w:color w:val="000000"/>
          <w:sz w:val="28"/>
          <w:szCs w:val="28"/>
          <w:lang w:eastAsia="en-GB"/>
        </w:rPr>
      </w:pPr>
    </w:p>
    <w:p w:rsidR="00AF1896" w:rsidRDefault="00AF1896" w:rsidP="00D8564E">
      <w:pPr>
        <w:shd w:val="clear" w:color="auto" w:fill="FFFFFF"/>
        <w:spacing w:before="120" w:after="120" w:line="240" w:lineRule="auto"/>
        <w:outlineLvl w:val="1"/>
        <w:rPr>
          <w:rFonts w:ascii="Arial" w:eastAsia="Times New Roman" w:hAnsi="Arial" w:cs="Arial"/>
          <w:b/>
          <w:color w:val="000000"/>
          <w:sz w:val="28"/>
          <w:szCs w:val="28"/>
          <w:lang w:eastAsia="en-GB"/>
        </w:rPr>
      </w:pPr>
    </w:p>
    <w:p w:rsidR="00AF1896" w:rsidRDefault="00AF1896" w:rsidP="00D8564E">
      <w:pPr>
        <w:shd w:val="clear" w:color="auto" w:fill="FFFFFF"/>
        <w:spacing w:before="120" w:after="120" w:line="240" w:lineRule="auto"/>
        <w:outlineLvl w:val="1"/>
        <w:rPr>
          <w:rFonts w:ascii="Arial" w:eastAsia="Times New Roman" w:hAnsi="Arial" w:cs="Arial"/>
          <w:b/>
          <w:color w:val="000000"/>
          <w:sz w:val="28"/>
          <w:szCs w:val="28"/>
          <w:lang w:eastAsia="en-GB"/>
        </w:rPr>
      </w:pPr>
    </w:p>
    <w:p w:rsidR="00D8564E" w:rsidRDefault="00D8564E" w:rsidP="00D8564E">
      <w:pPr>
        <w:shd w:val="clear" w:color="auto" w:fill="FFFFFF"/>
        <w:spacing w:before="120" w:after="120" w:line="240" w:lineRule="auto"/>
        <w:outlineLvl w:val="1"/>
        <w:rPr>
          <w:rFonts w:ascii="Arial" w:eastAsia="Times New Roman" w:hAnsi="Arial" w:cs="Arial"/>
          <w:b/>
          <w:color w:val="000000"/>
          <w:sz w:val="28"/>
          <w:szCs w:val="28"/>
          <w:lang w:eastAsia="en-GB"/>
        </w:rPr>
      </w:pPr>
      <w:r w:rsidRPr="00B20AB9">
        <w:rPr>
          <w:rFonts w:ascii="Arial" w:eastAsia="Times New Roman" w:hAnsi="Arial" w:cs="Arial"/>
          <w:b/>
          <w:color w:val="000000"/>
          <w:sz w:val="28"/>
          <w:szCs w:val="28"/>
          <w:lang w:eastAsia="en-GB"/>
        </w:rPr>
        <w:t>Corrective Results</w:t>
      </w:r>
    </w:p>
    <w:p w:rsidR="00B20AB9" w:rsidRPr="00B20AB9" w:rsidRDefault="00B20AB9" w:rsidP="00D8564E">
      <w:pPr>
        <w:shd w:val="clear" w:color="auto" w:fill="FFFFFF"/>
        <w:spacing w:before="120" w:after="120" w:line="240" w:lineRule="auto"/>
        <w:outlineLvl w:val="1"/>
        <w:rPr>
          <w:rFonts w:ascii="Arial" w:eastAsia="Times New Roman" w:hAnsi="Arial" w:cs="Arial"/>
          <w:b/>
          <w:color w:val="000000"/>
          <w:sz w:val="28"/>
          <w:szCs w:val="28"/>
          <w:lang w:eastAsia="en-GB"/>
        </w:rPr>
      </w:pPr>
    </w:p>
    <w:p w:rsidR="00D8564E" w:rsidRPr="00B20AB9" w:rsidRDefault="00D8564E" w:rsidP="00D8564E">
      <w:pPr>
        <w:numPr>
          <w:ilvl w:val="2"/>
          <w:numId w:val="6"/>
        </w:numPr>
        <w:shd w:val="clear" w:color="auto" w:fill="FFFFFF"/>
        <w:spacing w:before="72" w:after="72" w:line="300" w:lineRule="atLeast"/>
        <w:ind w:left="384"/>
        <w:rPr>
          <w:rFonts w:ascii="Arial" w:eastAsia="Times New Roman" w:hAnsi="Arial" w:cs="Arial"/>
          <w:color w:val="666666"/>
          <w:lang w:eastAsia="en-GB"/>
        </w:rPr>
      </w:pPr>
      <w:r w:rsidRPr="00B20AB9">
        <w:rPr>
          <w:rFonts w:ascii="Arial" w:eastAsia="Times New Roman" w:hAnsi="Arial" w:cs="Arial"/>
          <w:color w:val="666666"/>
          <w:lang w:eastAsia="en-GB"/>
        </w:rPr>
        <w:t>Where a TAG is judged to be too high or too low due to an error in one of the above, it will be referred to as ‘incorrect’ and it is Awarding Organisations who make the final decision whether to correct the result, and what the revised result should be.</w:t>
      </w:r>
    </w:p>
    <w:p w:rsidR="00500E8F" w:rsidRDefault="00500E8F">
      <w:pPr>
        <w:rPr>
          <w:sz w:val="20"/>
          <w:szCs w:val="20"/>
        </w:rPr>
      </w:pPr>
    </w:p>
    <w:p w:rsidR="00853CEA" w:rsidRDefault="00853CEA">
      <w:pPr>
        <w:rPr>
          <w:sz w:val="20"/>
          <w:szCs w:val="20"/>
        </w:rPr>
      </w:pPr>
    </w:p>
    <w:p w:rsidR="002B6E26" w:rsidRPr="00B20AB9" w:rsidRDefault="002B6E26" w:rsidP="002B6E26">
      <w:pPr>
        <w:shd w:val="clear" w:color="auto" w:fill="FFFFFF"/>
        <w:spacing w:before="120" w:after="120" w:line="240" w:lineRule="auto"/>
        <w:outlineLvl w:val="1"/>
        <w:rPr>
          <w:rFonts w:ascii="Arial" w:eastAsia="Times New Roman" w:hAnsi="Arial" w:cs="Arial"/>
          <w:b/>
          <w:sz w:val="24"/>
          <w:szCs w:val="24"/>
          <w:lang w:eastAsia="en-GB"/>
        </w:rPr>
      </w:pPr>
      <w:r w:rsidRPr="00B20AB9">
        <w:rPr>
          <w:rFonts w:ascii="Arial" w:eastAsia="Times New Roman" w:hAnsi="Arial" w:cs="Arial"/>
          <w:b/>
          <w:sz w:val="24"/>
          <w:szCs w:val="24"/>
          <w:lang w:eastAsia="en-GB"/>
        </w:rPr>
        <w:t>Grounds of Appeal – Responsibility of the student</w:t>
      </w:r>
    </w:p>
    <w:p w:rsidR="002B6E26" w:rsidRPr="00B20AB9" w:rsidRDefault="002B6E26" w:rsidP="002B6E26">
      <w:pPr>
        <w:shd w:val="clear" w:color="auto" w:fill="FFFFFF"/>
        <w:spacing w:before="72" w:after="72" w:line="300" w:lineRule="atLeast"/>
        <w:rPr>
          <w:rFonts w:ascii="Arial" w:eastAsia="Times New Roman" w:hAnsi="Arial" w:cs="Arial"/>
          <w:lang w:eastAsia="en-GB"/>
        </w:rPr>
      </w:pPr>
      <w:r w:rsidRPr="00B20AB9">
        <w:rPr>
          <w:rFonts w:ascii="Arial" w:eastAsia="Times New Roman" w:hAnsi="Arial" w:cs="Arial"/>
          <w:lang w:eastAsia="en-GB"/>
        </w:rPr>
        <w:t xml:space="preserve">The student will be responsible for outlining what their grounds of appeal are on the appeal form which can be requested by emailing </w:t>
      </w:r>
      <w:hyperlink r:id="rId8" w:history="1">
        <w:r w:rsidR="00D47866" w:rsidRPr="00B20AB9">
          <w:rPr>
            <w:rStyle w:val="Hyperlink"/>
            <w:rFonts w:ascii="Arial" w:eastAsia="Times New Roman" w:hAnsi="Arial" w:cs="Arial"/>
            <w:color w:val="auto"/>
            <w:lang w:eastAsia="en-GB"/>
          </w:rPr>
          <w:t>ashevelan@smbgroup.ac.uk</w:t>
        </w:r>
      </w:hyperlink>
    </w:p>
    <w:p w:rsidR="00D47866" w:rsidRDefault="00D47866" w:rsidP="002B6E26">
      <w:pPr>
        <w:shd w:val="clear" w:color="auto" w:fill="FFFFFF"/>
        <w:spacing w:before="72" w:after="72" w:line="300" w:lineRule="atLeast"/>
        <w:rPr>
          <w:rFonts w:ascii="Arial" w:eastAsia="Times New Roman" w:hAnsi="Arial" w:cs="Arial"/>
          <w:color w:val="4472C4" w:themeColor="accent1"/>
          <w:sz w:val="24"/>
          <w:szCs w:val="24"/>
          <w:lang w:eastAsia="en-GB"/>
        </w:rPr>
      </w:pPr>
    </w:p>
    <w:p w:rsidR="00853CEA" w:rsidRDefault="00853CEA">
      <w:pPr>
        <w:rPr>
          <w:sz w:val="20"/>
          <w:szCs w:val="20"/>
        </w:rPr>
      </w:pPr>
    </w:p>
    <w:p w:rsidR="00853CEA" w:rsidRDefault="00853CEA">
      <w:pPr>
        <w:rPr>
          <w:sz w:val="20"/>
          <w:szCs w:val="20"/>
        </w:rPr>
      </w:pPr>
    </w:p>
    <w:p w:rsidR="00853CEA" w:rsidRDefault="00853CEA">
      <w:pPr>
        <w:rPr>
          <w:sz w:val="20"/>
          <w:szCs w:val="20"/>
        </w:rPr>
      </w:pPr>
    </w:p>
    <w:p w:rsidR="00853CEA" w:rsidRDefault="00853CEA">
      <w:pPr>
        <w:rPr>
          <w:sz w:val="20"/>
          <w:szCs w:val="20"/>
        </w:rPr>
      </w:pPr>
    </w:p>
    <w:p w:rsidR="00853CEA" w:rsidRDefault="00853CEA">
      <w:pPr>
        <w:rPr>
          <w:sz w:val="20"/>
          <w:szCs w:val="20"/>
        </w:rPr>
      </w:pPr>
    </w:p>
    <w:p w:rsidR="00853CEA" w:rsidRDefault="00853CEA">
      <w:pPr>
        <w:rPr>
          <w:sz w:val="20"/>
          <w:szCs w:val="20"/>
        </w:rPr>
      </w:pPr>
    </w:p>
    <w:p w:rsidR="00853CEA" w:rsidRDefault="00853CEA">
      <w:pPr>
        <w:rPr>
          <w:sz w:val="20"/>
          <w:szCs w:val="20"/>
        </w:rPr>
      </w:pPr>
    </w:p>
    <w:p w:rsidR="00853CEA" w:rsidRDefault="00853CEA">
      <w:pPr>
        <w:rPr>
          <w:sz w:val="20"/>
          <w:szCs w:val="20"/>
        </w:rPr>
      </w:pPr>
    </w:p>
    <w:p w:rsidR="00853CEA" w:rsidRDefault="00853CEA">
      <w:pPr>
        <w:rPr>
          <w:sz w:val="20"/>
          <w:szCs w:val="20"/>
        </w:rPr>
      </w:pPr>
    </w:p>
    <w:p w:rsidR="00853CEA" w:rsidRDefault="00853CEA">
      <w:pPr>
        <w:rPr>
          <w:sz w:val="20"/>
          <w:szCs w:val="20"/>
        </w:rPr>
      </w:pPr>
    </w:p>
    <w:sectPr w:rsidR="00853C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FD" w:rsidRDefault="00BC0EFD" w:rsidP="00D8564E">
      <w:pPr>
        <w:spacing w:after="0" w:line="240" w:lineRule="auto"/>
      </w:pPr>
      <w:r>
        <w:separator/>
      </w:r>
    </w:p>
  </w:endnote>
  <w:endnote w:type="continuationSeparator" w:id="0">
    <w:p w:rsidR="00BC0EFD" w:rsidRDefault="00BC0EFD" w:rsidP="00D8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FD" w:rsidRDefault="00BC0EFD" w:rsidP="00D8564E">
      <w:pPr>
        <w:spacing w:after="0" w:line="240" w:lineRule="auto"/>
      </w:pPr>
      <w:r>
        <w:separator/>
      </w:r>
    </w:p>
  </w:footnote>
  <w:footnote w:type="continuationSeparator" w:id="0">
    <w:p w:rsidR="00BC0EFD" w:rsidRDefault="00BC0EFD" w:rsidP="00D85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4E" w:rsidRDefault="00D8564E" w:rsidP="00D8564E">
    <w:pPr>
      <w:pStyle w:val="Header"/>
      <w:jc w:val="right"/>
    </w:pPr>
    <w:r>
      <w:rPr>
        <w:noProof/>
      </w:rPr>
      <w:drawing>
        <wp:inline distT="0" distB="0" distL="0" distR="0">
          <wp:extent cx="29051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9150" cy="68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4E6"/>
    <w:multiLevelType w:val="multilevel"/>
    <w:tmpl w:val="3606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B1AD3"/>
    <w:multiLevelType w:val="multilevel"/>
    <w:tmpl w:val="9BCE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233BC"/>
    <w:multiLevelType w:val="hybridMultilevel"/>
    <w:tmpl w:val="2132D4D2"/>
    <w:lvl w:ilvl="0" w:tplc="AAFACE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F5713"/>
    <w:multiLevelType w:val="multilevel"/>
    <w:tmpl w:val="5B0EB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12AB2"/>
    <w:multiLevelType w:val="multilevel"/>
    <w:tmpl w:val="67F4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B7F96"/>
    <w:multiLevelType w:val="multilevel"/>
    <w:tmpl w:val="E60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C2138"/>
    <w:multiLevelType w:val="multilevel"/>
    <w:tmpl w:val="157C9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33"/>
    <w:rsid w:val="00025940"/>
    <w:rsid w:val="000C0B40"/>
    <w:rsid w:val="00107E22"/>
    <w:rsid w:val="002A4A0B"/>
    <w:rsid w:val="002B6E26"/>
    <w:rsid w:val="00335D33"/>
    <w:rsid w:val="00500E8F"/>
    <w:rsid w:val="00853CEA"/>
    <w:rsid w:val="0088188C"/>
    <w:rsid w:val="00AF1896"/>
    <w:rsid w:val="00B20AB9"/>
    <w:rsid w:val="00BC0EFD"/>
    <w:rsid w:val="00C37EAC"/>
    <w:rsid w:val="00D47866"/>
    <w:rsid w:val="00D8564E"/>
    <w:rsid w:val="00E5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9A90"/>
  <w15:chartTrackingRefBased/>
  <w15:docId w15:val="{962C9CF7-19B4-4540-B711-EA5882B5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4E"/>
  </w:style>
  <w:style w:type="paragraph" w:styleId="Footer">
    <w:name w:val="footer"/>
    <w:basedOn w:val="Normal"/>
    <w:link w:val="FooterChar"/>
    <w:uiPriority w:val="99"/>
    <w:unhideWhenUsed/>
    <w:rsid w:val="00D85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4E"/>
  </w:style>
  <w:style w:type="paragraph" w:styleId="ListParagraph">
    <w:name w:val="List Paragraph"/>
    <w:basedOn w:val="Normal"/>
    <w:uiPriority w:val="34"/>
    <w:qFormat/>
    <w:rsid w:val="00853CEA"/>
    <w:pPr>
      <w:ind w:left="720"/>
      <w:contextualSpacing/>
    </w:pPr>
  </w:style>
  <w:style w:type="character" w:styleId="Hyperlink">
    <w:name w:val="Hyperlink"/>
    <w:basedOn w:val="DefaultParagraphFont"/>
    <w:uiPriority w:val="99"/>
    <w:unhideWhenUsed/>
    <w:rsid w:val="002B6E26"/>
    <w:rPr>
      <w:color w:val="0563C1" w:themeColor="hyperlink"/>
      <w:u w:val="single"/>
    </w:rPr>
  </w:style>
  <w:style w:type="character" w:styleId="UnresolvedMention">
    <w:name w:val="Unresolved Mention"/>
    <w:basedOn w:val="DefaultParagraphFont"/>
    <w:uiPriority w:val="99"/>
    <w:semiHidden/>
    <w:unhideWhenUsed/>
    <w:rsid w:val="002B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977013">
      <w:bodyDiv w:val="1"/>
      <w:marLeft w:val="0"/>
      <w:marRight w:val="0"/>
      <w:marTop w:val="0"/>
      <w:marBottom w:val="0"/>
      <w:divBdr>
        <w:top w:val="none" w:sz="0" w:space="0" w:color="auto"/>
        <w:left w:val="none" w:sz="0" w:space="0" w:color="auto"/>
        <w:bottom w:val="none" w:sz="0" w:space="0" w:color="auto"/>
        <w:right w:val="none" w:sz="0" w:space="0" w:color="auto"/>
      </w:divBdr>
    </w:div>
    <w:div w:id="20162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velan@smbgroup.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3966-0E4C-4068-945C-4EF5E800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Shevelan</dc:creator>
  <cp:keywords/>
  <dc:description/>
  <cp:lastModifiedBy>George Caplan</cp:lastModifiedBy>
  <cp:revision>2</cp:revision>
  <dcterms:created xsi:type="dcterms:W3CDTF">2021-07-09T15:11:00Z</dcterms:created>
  <dcterms:modified xsi:type="dcterms:W3CDTF">2021-07-09T15:11:00Z</dcterms:modified>
</cp:coreProperties>
</file>